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1E" w:rsidRDefault="0021571E" w:rsidP="00441270"/>
    <w:p w:rsidR="00F2380D" w:rsidRPr="00E553F0" w:rsidRDefault="00F2380D" w:rsidP="00855703">
      <w:pPr>
        <w:pStyle w:val="OZNZACZNIKAwskazanienrzacznika"/>
      </w:pPr>
      <w:r w:rsidRPr="00E553F0">
        <w:t>Załącznik do rozporządzenia Ministra Klimatu i Środowiska</w:t>
      </w:r>
    </w:p>
    <w:p w:rsidR="00F2380D" w:rsidRDefault="00F2380D" w:rsidP="00F2380D">
      <w:pPr>
        <w:pStyle w:val="OZNZACZNIKAwskazanienrzacznika"/>
      </w:pPr>
      <w:r w:rsidRPr="00E553F0">
        <w:t xml:space="preserve">z dnia </w:t>
      </w:r>
      <w:r w:rsidR="00597BB2">
        <w:t>9 lutego</w:t>
      </w:r>
      <w:r w:rsidRPr="00E553F0">
        <w:t>202</w:t>
      </w:r>
      <w:r>
        <w:t>2</w:t>
      </w:r>
      <w:r w:rsidRPr="00E553F0">
        <w:t xml:space="preserve"> r. (poz. </w:t>
      </w:r>
      <w:r>
        <w:t>…</w:t>
      </w:r>
      <w:r w:rsidRPr="00E553F0">
        <w:t>)</w:t>
      </w:r>
    </w:p>
    <w:p w:rsidR="00F2380D" w:rsidRDefault="00F2380D" w:rsidP="00F2380D">
      <w:pPr>
        <w:pStyle w:val="OZNRODZAKTUtznustawalubrozporzdzenieiorganwydajcy"/>
      </w:pPr>
    </w:p>
    <w:p w:rsidR="00F2380D" w:rsidRPr="00EE1808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:rsidR="00F2380D" w:rsidRPr="0002490A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:rsidTr="00B55020">
        <w:trPr>
          <w:trHeight w:val="257"/>
        </w:trPr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894A13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894A13">
        <w:rPr>
          <w:noProof/>
        </w:rPr>
        <w:pict>
          <v:shape id="AutoShape 3" o:spid="_x0000_s1026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 w:rsidRPr="00894A13">
        <w:rPr>
          <w:noProof/>
        </w:rPr>
        <w:pict>
          <v:shape id="Shape 2640" o:spid="_x0000_s1027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2022 r. poz. 1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>, z późn.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rPr>
          <w:rStyle w:val="IGindeksgrny"/>
        </w:rPr>
      </w:pPr>
    </w:p>
    <w:p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F2380D" w:rsidRPr="007E2B21" w:rsidRDefault="00F2380D" w:rsidP="00584E1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F2380D" w:rsidRPr="00796794" w:rsidRDefault="00F2380D" w:rsidP="008F34F1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22"/>
        </w:rPr>
        <w:t xml:space="preserve">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:rsidR="00F2380D" w:rsidRPr="00796794" w:rsidRDefault="00F2380D" w:rsidP="008F34F1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>,</w:t>
      </w:r>
      <w:bookmarkEnd w:id="7"/>
    </w:p>
    <w:p w:rsidR="00F2380D" w:rsidRDefault="00F2380D" w:rsidP="009A400A">
      <w:pPr>
        <w:widowControl/>
        <w:tabs>
          <w:tab w:val="left" w:pos="426"/>
          <w:tab w:val="left" w:pos="8780"/>
        </w:tabs>
        <w:autoSpaceDE/>
        <w:autoSpaceDN/>
        <w:adjustRightInd/>
        <w:spacing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października2022 r.</w:t>
      </w:r>
    </w:p>
    <w:p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F2380D" w:rsidRDefault="00F2380D" w:rsidP="00122A00">
      <w:pPr>
        <w:spacing w:before="240" w:line="276" w:lineRule="auto"/>
        <w:rPr>
          <w:rStyle w:val="IGindeksgrny"/>
        </w:rPr>
      </w:pPr>
    </w:p>
    <w:p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796794">
        <w:rPr>
          <w:rFonts w:eastAsia="Arial" w:cs="Times New Roman"/>
          <w:color w:val="000000"/>
          <w:sz w:val="18"/>
          <w:szCs w:val="18"/>
        </w:rPr>
        <w:t>Rok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796794">
        <w:rPr>
          <w:rFonts w:eastAsia="Arial" w:cs="Times New Roman"/>
          <w:color w:val="000000"/>
          <w:sz w:val="18"/>
          <w:szCs w:val="18"/>
        </w:rPr>
        <w:t>Kwotaalimentów</w:t>
      </w:r>
    </w:p>
    <w:tbl>
      <w:tblPr>
        <w:tblpPr w:vertAnchor="text" w:horzAnchor="page" w:tblpX="7361" w:tblpY="18"/>
        <w:tblOverlap w:val="never"/>
        <w:tblW w:w="3777" w:type="dxa"/>
        <w:tblCellMar>
          <w:top w:w="24" w:type="dxa"/>
          <w:left w:w="0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3D44A3" w:rsidRPr="00B55020" w:rsidTr="00B55020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B55020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B55020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w: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F2380D" w:rsidRDefault="00F2380D" w:rsidP="00DB1F9E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:rsidR="00F2380D" w:rsidRPr="0002490A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8"/>
    <w:p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>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2380D" w:rsidRPr="00CF16D8" w:rsidRDefault="00F2380D" w:rsidP="00F2380D">
      <w:pPr>
        <w:rPr>
          <w:rStyle w:val="IGindeksgrny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takiedochody. </w:t>
      </w:r>
    </w:p>
    <w:bookmarkEnd w:id="9"/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tbl>
      <w:tblPr>
        <w:tblpPr w:leftFromText="141" w:rightFromText="141" w:vertAnchor="text" w:horzAnchor="page" w:tblpX="89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239"/>
        <w:gridCol w:w="239"/>
        <w:gridCol w:w="239"/>
      </w:tblGrid>
      <w:tr w:rsidR="003D44A3" w:rsidRPr="00B55020" w:rsidTr="00B55020">
        <w:trPr>
          <w:trHeight w:val="311"/>
        </w:trPr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AA4E35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F2380D" w:rsidRPr="0002490A" w:rsidRDefault="00EE1808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</w:t>
      </w:r>
      <w:r w:rsidR="00F2380D" w:rsidRPr="0002490A">
        <w:rPr>
          <w:rFonts w:eastAsia="Arial" w:cs="Times New Roman"/>
          <w:color w:val="000000"/>
          <w:sz w:val="20"/>
        </w:rPr>
        <w:t xml:space="preserve">dochód w wysokości: </w:t>
      </w:r>
      <w:r w:rsidR="00AA4E35">
        <w:rPr>
          <w:rFonts w:eastAsia="Arial" w:cs="Times New Roman"/>
          <w:color w:val="000000"/>
          <w:sz w:val="20"/>
        </w:rPr>
        <w:tab/>
      </w:r>
      <w:r w:rsidR="00AA4E35" w:rsidRPr="0002490A">
        <w:rPr>
          <w:rFonts w:eastAsia="Arial" w:cs="Times New Roman"/>
          <w:color w:val="000000"/>
          <w:sz w:val="20"/>
        </w:rPr>
        <w:t>zł,</w:t>
      </w:r>
    </w:p>
    <w:p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Pr="00095FE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F2380D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>pis</w:t>
      </w:r>
      <w:r>
        <w:rPr>
          <w:rFonts w:eastAsia="Arial" w:cs="Times New Roman"/>
          <w:color w:val="000000"/>
          <w:sz w:val="18"/>
          <w:szCs w:val="18"/>
        </w:rPr>
        <w:t>ać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>przeciętnego miesięcznegodoch</w:t>
      </w:r>
      <w:r>
        <w:rPr>
          <w:rFonts w:eastAsia="Arial" w:cs="Times New Roman"/>
          <w:color w:val="000000"/>
          <w:sz w:val="18"/>
          <w:szCs w:val="18"/>
        </w:rPr>
        <w:t>o</w:t>
      </w:r>
      <w:r w:rsidRPr="00796794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2020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p w:rsidR="00F2380D" w:rsidRPr="00796794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późn. zm.)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</w:t>
      </w:r>
      <w:r w:rsidR="00F2380D">
        <w:rPr>
          <w:rFonts w:eastAsia="Arial" w:cs="Times New Roman"/>
          <w:color w:val="000000"/>
          <w:sz w:val="18"/>
          <w:szCs w:val="18"/>
        </w:rPr>
        <w:br/>
        <w:t>z późn.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2021 r. poz. 478, z późn.zm.),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późn.zm.)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2021 r. poz. </w:t>
      </w:r>
      <w:r w:rsidR="00F2380D">
        <w:rPr>
          <w:rFonts w:eastAsia="Arial" w:cs="Times New Roman"/>
          <w:color w:val="000000"/>
          <w:sz w:val="18"/>
          <w:szCs w:val="18"/>
        </w:rPr>
        <w:t>1762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F2380D">
        <w:rPr>
          <w:rFonts w:eastAsia="Arial" w:cs="Times New Roman"/>
          <w:color w:val="000000"/>
          <w:sz w:val="18"/>
          <w:szCs w:val="18"/>
        </w:rPr>
        <w:t>1915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20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1"/>
      <w:r>
        <w:rPr>
          <w:rStyle w:val="Ppogrubienie"/>
          <w:b w:val="0"/>
          <w:bCs/>
        </w:rPr>
        <w:t>)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GOSPODARSTWA ROLNEGOJEGO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378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381"/>
        <w:gridCol w:w="381"/>
        <w:gridCol w:w="381"/>
        <w:gridCol w:w="381"/>
      </w:tblGrid>
      <w:tr w:rsidR="003D44A3" w:rsidRPr="00B55020" w:rsidTr="00B55020">
        <w:trPr>
          <w:trHeight w:val="410"/>
        </w:trPr>
        <w:tc>
          <w:tcPr>
            <w:tcW w:w="38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B55020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:rsidTr="00B55020">
        <w:trPr>
          <w:trHeight w:val="416"/>
        </w:trPr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Default="00F2380D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>
        <w:rPr>
          <w:rFonts w:eastAsia="Arial" w:cs="Times New Roman"/>
          <w:color w:val="000000"/>
          <w:sz w:val="18"/>
          <w:szCs w:val="18"/>
        </w:rPr>
        <w:t xml:space="preserve">jest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>
        <w:rPr>
          <w:rFonts w:eastAsia="Arial" w:cs="Times New Roman"/>
          <w:color w:val="000000"/>
          <w:sz w:val="18"/>
          <w:szCs w:val="18"/>
        </w:rPr>
        <w:t xml:space="preserve">przeciętny miesięczny dochód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 xml:space="preserve"> 2020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p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047B8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FC" w:rsidRDefault="00553CFC" w:rsidP="0002490A">
      <w:pPr>
        <w:spacing w:line="240" w:lineRule="auto"/>
      </w:pPr>
      <w:r>
        <w:separator/>
      </w:r>
    </w:p>
  </w:endnote>
  <w:endnote w:type="continuationSeparator" w:id="1">
    <w:p w:rsidR="00553CFC" w:rsidRDefault="00553CF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FC" w:rsidRDefault="00553CFC" w:rsidP="0002490A">
      <w:pPr>
        <w:spacing w:line="240" w:lineRule="auto"/>
      </w:pPr>
      <w:r>
        <w:separator/>
      </w:r>
    </w:p>
  </w:footnote>
  <w:footnote w:type="continuationSeparator" w:id="1">
    <w:p w:rsidR="00553CFC" w:rsidRDefault="00553CF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894A13">
      <w:fldChar w:fldCharType="begin"/>
    </w:r>
    <w:r>
      <w:instrText xml:space="preserve"> PAGE  \* MERGEFORMAT </w:instrText>
    </w:r>
    <w:r w:rsidR="00894A13">
      <w:fldChar w:fldCharType="separate"/>
    </w:r>
    <w:r w:rsidR="0043415A">
      <w:rPr>
        <w:noProof/>
      </w:rPr>
      <w:t>2</w:t>
    </w:r>
    <w:r w:rsidR="00894A1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9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415A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53CFC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4A13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0086"/>
    <w:rsid w:val="00F630DD"/>
    <w:rsid w:val="00F66C01"/>
    <w:rsid w:val="00F75EBD"/>
    <w:rsid w:val="00F76CE7"/>
    <w:rsid w:val="00F87BF8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AF6B-C39A-4F73-A358-3DC50068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3141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opsru</cp:lastModifiedBy>
  <cp:revision>3</cp:revision>
  <dcterms:created xsi:type="dcterms:W3CDTF">2022-02-16T13:45:00Z</dcterms:created>
  <dcterms:modified xsi:type="dcterms:W3CDTF">2022-06-24T11:30:00Z</dcterms:modified>
</cp:coreProperties>
</file>